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37328" w14:textId="77777777" w:rsidR="006237D8" w:rsidRDefault="00AE10A4" w:rsidP="006237D8">
      <w:pPr>
        <w:pStyle w:val="Title"/>
        <w:jc w:val="center"/>
        <w:outlineLvl w:val="0"/>
      </w:pPr>
      <w:r>
        <w:t>13</w:t>
      </w:r>
      <w:r w:rsidR="006237D8">
        <w:t xml:space="preserve"> Cases</w:t>
      </w:r>
    </w:p>
    <w:p w14:paraId="46857E07" w14:textId="77777777" w:rsidR="006237D8" w:rsidRDefault="006237D8" w:rsidP="006237D8">
      <w:pPr>
        <w:pStyle w:val="BB-ConstructiveSpeech"/>
        <w:ind w:left="720" w:right="720"/>
        <w:jc w:val="both"/>
      </w:pPr>
    </w:p>
    <w:p w14:paraId="0A40AABD" w14:textId="77777777" w:rsidR="00746F76" w:rsidRPr="00AE10A4" w:rsidRDefault="00AE10A4" w:rsidP="00AE10A4">
      <w:pPr>
        <w:pStyle w:val="BB-ConstructiveSpeech"/>
        <w:ind w:left="720" w:right="720"/>
        <w:jc w:val="both"/>
      </w:pPr>
      <w:r>
        <w:t xml:space="preserve">The following cases were published in 2013 to prepare for the 2013-2014 Stoa Resolution: </w:t>
      </w:r>
      <w:r w:rsidRPr="00AE10A4">
        <w:rPr>
          <w:i/>
          <w:iCs/>
        </w:rPr>
        <w:t>The United States federal government should substantially reform its marine natural resource policies.</w:t>
      </w:r>
      <w:r>
        <w:rPr>
          <w:i/>
          <w:iCs/>
        </w:rPr>
        <w:t xml:space="preserve"> </w:t>
      </w:r>
      <w:r>
        <w:rPr>
          <w:iCs/>
        </w:rPr>
        <w:t>The page numbers indicate the case placement in the case document. The same order is in the 2A Extension and Negative Brief downloads.</w:t>
      </w:r>
      <w:bookmarkStart w:id="0" w:name="_GoBack"/>
      <w:bookmarkEnd w:id="0"/>
    </w:p>
    <w:p w14:paraId="6DE2C01E" w14:textId="77777777" w:rsidR="006237D8" w:rsidRDefault="006237D8" w:rsidP="006237D8">
      <w:pPr>
        <w:pStyle w:val="BB-ConstructiveSpeech"/>
        <w:ind w:left="720" w:right="720"/>
        <w:jc w:val="both"/>
      </w:pPr>
    </w:p>
    <w:p w14:paraId="2EF1263A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eastAsiaTheme="minorEastAsia"/>
          <w:i/>
          <w:iCs/>
          <w:sz w:val="24"/>
          <w:szCs w:val="24"/>
          <w:lang w:eastAsia="ja-JP"/>
        </w:rPr>
        <w:t>They’re More Like Guidelines  </w:t>
      </w:r>
      <w:r>
        <w:rPr>
          <w:rFonts w:eastAsiaTheme="minorEastAsia"/>
          <w:i/>
          <w:iCs/>
          <w:sz w:val="24"/>
          <w:szCs w:val="24"/>
          <w:lang w:eastAsia="ja-JP"/>
        </w:rPr>
        <w:br/>
      </w:r>
      <w:r>
        <w:rPr>
          <w:rFonts w:ascii="Times" w:eastAsiaTheme="minorEastAsia" w:hAnsi="Times" w:cs="Times"/>
          <w:sz w:val="24"/>
          <w:szCs w:val="24"/>
          <w:lang w:eastAsia="ja-JP"/>
        </w:rPr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Aquaculture Regulation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II-1</w:t>
      </w:r>
    </w:p>
    <w:p w14:paraId="74544520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Sea of Troubles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against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Arctic Offshore Oil Drilling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II-5</w:t>
      </w:r>
    </w:p>
    <w:p w14:paraId="5FECD675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Intruder Alert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>The Case for Stopping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 xml:space="preserve"> Asian Carp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II-9</w:t>
      </w:r>
    </w:p>
    <w:p w14:paraId="1BEC2DD5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Let’s Make a Deal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Chesapeake Bay Nutrient &amp; Sediment Trading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II-15</w:t>
      </w:r>
    </w:p>
    <w:p w14:paraId="4EA70A5D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Under the Sea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Coral Reef Protection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II-21</w:t>
      </w:r>
    </w:p>
    <w:p w14:paraId="79455E49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 xml:space="preserve">Hottest Spot North of Havana 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Cuban Offshore Oil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II-27</w:t>
      </w:r>
    </w:p>
    <w:p w14:paraId="753F01D0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The Deadliest Catch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Fishing ITQs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II-33</w:t>
      </w:r>
    </w:p>
    <w:p w14:paraId="0D358CF7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Energize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Hydrokinetic Energy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II-39</w:t>
      </w:r>
    </w:p>
    <w:p w14:paraId="5A6D91B5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Deep Freeze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Icebreakers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II-43</w:t>
      </w:r>
    </w:p>
    <w:p w14:paraId="387BAC83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Lost at Sea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for The Law of the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Sea Treaty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II-47</w:t>
      </w:r>
    </w:p>
    <w:p w14:paraId="7B95FCAC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Noisy Neighbors </w:t>
      </w: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br/>
      </w:r>
      <w:r>
        <w:rPr>
          <w:rFonts w:ascii="Times" w:eastAsiaTheme="minorEastAsia" w:hAnsi="Times" w:cs="Times"/>
          <w:sz w:val="24"/>
          <w:szCs w:val="24"/>
          <w:lang w:eastAsia="ja-JP"/>
        </w:rPr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Navy Sonar Restrictions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II-51</w:t>
      </w:r>
    </w:p>
    <w:p w14:paraId="440B3F94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Sea of Troubles II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Against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Offshore Drilling</w:t>
      </w:r>
      <w:r>
        <w:rPr>
          <w:rFonts w:ascii="Times" w:eastAsiaTheme="minorEastAsia" w:hAnsi="Times" w:cs="Times"/>
          <w:sz w:val="24"/>
          <w:szCs w:val="24"/>
          <w:lang w:eastAsia="ja-JP"/>
        </w:rPr>
        <w:tab/>
        <w:t>II-55</w:t>
      </w:r>
    </w:p>
    <w:p w14:paraId="7E92FC95" w14:textId="77777777" w:rsidR="006237D8" w:rsidRDefault="006237D8" w:rsidP="006237D8">
      <w:pPr>
        <w:widowControl w:val="0"/>
        <w:numPr>
          <w:ilvl w:val="0"/>
          <w:numId w:val="1"/>
        </w:numPr>
        <w:tabs>
          <w:tab w:val="left" w:pos="20"/>
          <w:tab w:val="left" w:pos="380"/>
          <w:tab w:val="right" w:pos="8190"/>
        </w:tabs>
        <w:autoSpaceDE w:val="0"/>
        <w:autoSpaceDN w:val="0"/>
        <w:adjustRightInd w:val="0"/>
        <w:spacing w:after="160"/>
        <w:ind w:left="360" w:right="1440"/>
        <w:rPr>
          <w:rFonts w:ascii="Times" w:eastAsiaTheme="minorEastAsia" w:hAnsi="Times" w:cs="Times"/>
          <w:sz w:val="24"/>
          <w:szCs w:val="24"/>
          <w:lang w:eastAsia="ja-JP"/>
        </w:rPr>
      </w:pPr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 xml:space="preserve">Plop </w:t>
      </w:r>
      <w:proofErr w:type="spellStart"/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>Plop</w:t>
      </w:r>
      <w:proofErr w:type="spellEnd"/>
      <w:r>
        <w:rPr>
          <w:rFonts w:ascii="Times" w:eastAsiaTheme="minorEastAsia" w:hAnsi="Times" w:cs="Times"/>
          <w:i/>
          <w:iCs/>
          <w:sz w:val="24"/>
          <w:szCs w:val="24"/>
          <w:lang w:eastAsia="ja-JP"/>
        </w:rPr>
        <w:t xml:space="preserve"> Fizz Fizz</w:t>
      </w:r>
      <w:r>
        <w:rPr>
          <w:rFonts w:ascii="Times" w:eastAsiaTheme="minorEastAsia" w:hAnsi="Times" w:cs="Times"/>
          <w:sz w:val="24"/>
          <w:szCs w:val="24"/>
          <w:lang w:eastAsia="ja-JP"/>
        </w:rPr>
        <w:t> </w:t>
      </w:r>
      <w:r>
        <w:rPr>
          <w:rFonts w:ascii="Times" w:eastAsiaTheme="minorEastAsia" w:hAnsi="Times" w:cs="Times"/>
          <w:sz w:val="24"/>
          <w:szCs w:val="24"/>
          <w:lang w:eastAsia="ja-JP"/>
        </w:rPr>
        <w:br/>
        <w:t xml:space="preserve">The Case for </w:t>
      </w:r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 xml:space="preserve">Olivine </w:t>
      </w:r>
      <w:proofErr w:type="spellStart"/>
      <w:r>
        <w:rPr>
          <w:rFonts w:ascii="Times" w:eastAsiaTheme="minorEastAsia" w:hAnsi="Times" w:cs="Times"/>
          <w:b/>
          <w:bCs/>
          <w:sz w:val="24"/>
          <w:szCs w:val="24"/>
          <w:lang w:eastAsia="ja-JP"/>
        </w:rPr>
        <w:t>Geoengineering</w:t>
      </w:r>
      <w:proofErr w:type="spellEnd"/>
      <w:r>
        <w:rPr>
          <w:rFonts w:ascii="Times" w:eastAsiaTheme="minorEastAsia" w:hAnsi="Times" w:cs="Times"/>
          <w:sz w:val="24"/>
          <w:szCs w:val="24"/>
          <w:lang w:eastAsia="ja-JP"/>
        </w:rPr>
        <w:tab/>
        <w:t>II-59</w:t>
      </w:r>
    </w:p>
    <w:p w14:paraId="67F0EEF1" w14:textId="77777777" w:rsidR="006237D8" w:rsidRDefault="006237D8" w:rsidP="006237D8">
      <w:pPr>
        <w:pStyle w:val="BB-ConstructiveSpeech"/>
        <w:ind w:left="720" w:right="720"/>
        <w:jc w:val="both"/>
      </w:pPr>
    </w:p>
    <w:sectPr w:rsidR="006237D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D8"/>
    <w:rsid w:val="006237D8"/>
    <w:rsid w:val="00AE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FA6D9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D8"/>
    <w:rPr>
      <w:rFonts w:eastAsia="Times New Roman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46C71"/>
    <w:rPr>
      <w:rFonts w:ascii="Lucida Grande" w:hAnsi="Lucida Grande"/>
      <w:sz w:val="18"/>
      <w:szCs w:val="18"/>
    </w:rPr>
  </w:style>
  <w:style w:type="paragraph" w:customStyle="1" w:styleId="BB-ConstructiveSpeech">
    <w:name w:val="BB-Constructive Speech"/>
    <w:rsid w:val="006237D8"/>
    <w:pPr>
      <w:tabs>
        <w:tab w:val="left" w:pos="360"/>
      </w:tabs>
      <w:spacing w:after="200"/>
    </w:pPr>
    <w:rPr>
      <w:rFonts w:eastAsia="Times New Roman"/>
      <w:lang w:eastAsia="en-US" w:bidi="en-US"/>
    </w:rPr>
  </w:style>
  <w:style w:type="paragraph" w:styleId="TOC1">
    <w:name w:val="toc 1"/>
    <w:basedOn w:val="Normal"/>
    <w:next w:val="Normal"/>
    <w:uiPriority w:val="39"/>
    <w:rsid w:val="006237D8"/>
    <w:pPr>
      <w:tabs>
        <w:tab w:val="right" w:leader="dot" w:pos="10080"/>
      </w:tabs>
      <w:spacing w:before="120" w:after="80"/>
      <w:ind w:left="288" w:hanging="288"/>
    </w:pPr>
    <w:rPr>
      <w:b/>
      <w:caps/>
    </w:rPr>
  </w:style>
  <w:style w:type="paragraph" w:styleId="Title">
    <w:name w:val="Title"/>
    <w:basedOn w:val="Normal"/>
    <w:link w:val="TitleChar"/>
    <w:qFormat/>
    <w:rsid w:val="006237D8"/>
    <w:pPr>
      <w:spacing w:before="480" w:after="120"/>
    </w:pPr>
    <w:rPr>
      <w:rFonts w:ascii="Arial" w:eastAsia="Arial" w:hAnsi="Arial" w:cs="Arial"/>
      <w:b/>
      <w:bCs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6237D8"/>
    <w:rPr>
      <w:rFonts w:ascii="Arial" w:eastAsia="Arial" w:hAnsi="Arial" w:cs="Arial"/>
      <w:b/>
      <w:bCs/>
      <w:color w:val="000000"/>
      <w:sz w:val="72"/>
      <w:szCs w:val="7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D8"/>
    <w:rPr>
      <w:rFonts w:eastAsia="Times New Roman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46C71"/>
    <w:rPr>
      <w:rFonts w:ascii="Lucida Grande" w:hAnsi="Lucida Grande"/>
      <w:sz w:val="18"/>
      <w:szCs w:val="18"/>
    </w:rPr>
  </w:style>
  <w:style w:type="paragraph" w:customStyle="1" w:styleId="BB-ConstructiveSpeech">
    <w:name w:val="BB-Constructive Speech"/>
    <w:rsid w:val="006237D8"/>
    <w:pPr>
      <w:tabs>
        <w:tab w:val="left" w:pos="360"/>
      </w:tabs>
      <w:spacing w:after="200"/>
    </w:pPr>
    <w:rPr>
      <w:rFonts w:eastAsia="Times New Roman"/>
      <w:lang w:eastAsia="en-US" w:bidi="en-US"/>
    </w:rPr>
  </w:style>
  <w:style w:type="paragraph" w:styleId="TOC1">
    <w:name w:val="toc 1"/>
    <w:basedOn w:val="Normal"/>
    <w:next w:val="Normal"/>
    <w:uiPriority w:val="39"/>
    <w:rsid w:val="006237D8"/>
    <w:pPr>
      <w:tabs>
        <w:tab w:val="right" w:leader="dot" w:pos="10080"/>
      </w:tabs>
      <w:spacing w:before="120" w:after="80"/>
      <w:ind w:left="288" w:hanging="288"/>
    </w:pPr>
    <w:rPr>
      <w:b/>
      <w:caps/>
    </w:rPr>
  </w:style>
  <w:style w:type="paragraph" w:styleId="Title">
    <w:name w:val="Title"/>
    <w:basedOn w:val="Normal"/>
    <w:link w:val="TitleChar"/>
    <w:qFormat/>
    <w:rsid w:val="006237D8"/>
    <w:pPr>
      <w:spacing w:before="480" w:after="120"/>
    </w:pPr>
    <w:rPr>
      <w:rFonts w:ascii="Arial" w:eastAsia="Arial" w:hAnsi="Arial" w:cs="Arial"/>
      <w:b/>
      <w:bCs/>
      <w:color w:val="000000"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6237D8"/>
    <w:rPr>
      <w:rFonts w:ascii="Arial" w:eastAsia="Arial" w:hAnsi="Arial" w:cs="Arial"/>
      <w:b/>
      <w:bCs/>
      <w:color w:val="000000"/>
      <w:sz w:val="72"/>
      <w:szCs w:val="7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959</Characters>
  <Application>Microsoft Macintosh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Jeub</dc:creator>
  <cp:keywords/>
  <dc:description/>
  <cp:lastModifiedBy>Chris Jeub</cp:lastModifiedBy>
  <cp:revision>2</cp:revision>
  <dcterms:created xsi:type="dcterms:W3CDTF">2013-07-11T20:14:00Z</dcterms:created>
  <dcterms:modified xsi:type="dcterms:W3CDTF">2016-02-20T14:07:00Z</dcterms:modified>
</cp:coreProperties>
</file>